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73684">
      <w:pPr>
        <w:pStyle w:val="5"/>
        <w:ind w:firstLine="420"/>
      </w:pPr>
    </w:p>
    <w:p w14:paraId="505371C5">
      <w:pPr>
        <w:pStyle w:val="5"/>
        <w:ind w:firstLine="420"/>
      </w:pPr>
    </w:p>
    <w:p w14:paraId="2C406A4F">
      <w:pPr>
        <w:pStyle w:val="5"/>
        <w:ind w:firstLine="420"/>
      </w:pPr>
    </w:p>
    <w:p w14:paraId="3E3B2713">
      <w:pPr>
        <w:pStyle w:val="5"/>
        <w:ind w:firstLine="420"/>
      </w:pPr>
    </w:p>
    <w:p w14:paraId="7E56DD97">
      <w:pPr>
        <w:pStyle w:val="5"/>
        <w:ind w:firstLine="420"/>
      </w:pPr>
    </w:p>
    <w:p w14:paraId="657FD3F4">
      <w:pPr>
        <w:pStyle w:val="5"/>
        <w:ind w:firstLine="420"/>
      </w:pPr>
    </w:p>
    <w:p w14:paraId="3E1B71D4">
      <w:pPr>
        <w:ind w:firstLine="0" w:firstLineChars="0"/>
        <w:rPr>
          <w:b/>
          <w:bCs/>
          <w:sz w:val="40"/>
          <w:szCs w:val="40"/>
          <w:lang w:eastAsia="zh-CN"/>
        </w:rPr>
      </w:pPr>
    </w:p>
    <w:p w14:paraId="6CEE479B">
      <w:pPr>
        <w:ind w:firstLine="0" w:firstLineChars="0"/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《民用爆</w:t>
      </w:r>
      <w:r>
        <w:rPr>
          <w:rFonts w:hint="eastAsia"/>
          <w:b/>
          <w:bCs/>
          <w:sz w:val="40"/>
          <w:szCs w:val="40"/>
          <w:lang w:val="en-US" w:eastAsia="zh-CN"/>
        </w:rPr>
        <w:t>破器材</w:t>
      </w:r>
      <w:r>
        <w:rPr>
          <w:rFonts w:hint="eastAsia"/>
          <w:b/>
          <w:bCs/>
          <w:sz w:val="40"/>
          <w:szCs w:val="40"/>
          <w:lang w:eastAsia="zh-CN"/>
        </w:rPr>
        <w:t>企业安全检查方法  检查表法</w:t>
      </w:r>
    </w:p>
    <w:p w14:paraId="048038C8">
      <w:pPr>
        <w:spacing w:line="840" w:lineRule="exact"/>
        <w:ind w:firstLine="2008" w:firstLineChars="500"/>
        <w:jc w:val="both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>第3部分：工业炸药及制品生产线</w:t>
      </w:r>
      <w:r>
        <w:rPr>
          <w:rFonts w:hint="eastAsia"/>
          <w:b/>
          <w:bCs/>
          <w:sz w:val="40"/>
          <w:szCs w:val="40"/>
          <w:lang w:eastAsia="zh-CN"/>
        </w:rPr>
        <w:t>》</w:t>
      </w:r>
    </w:p>
    <w:p w14:paraId="501D5FE8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6C433F9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02FBFFD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编制说明</w:t>
      </w:r>
    </w:p>
    <w:p w14:paraId="18926347">
      <w:pPr>
        <w:pStyle w:val="5"/>
        <w:ind w:firstLine="420"/>
        <w:rPr>
          <w:lang w:eastAsia="zh-CN"/>
        </w:rPr>
      </w:pPr>
    </w:p>
    <w:p w14:paraId="42F7468E">
      <w:pPr>
        <w:pStyle w:val="5"/>
        <w:ind w:firstLine="420"/>
        <w:rPr>
          <w:lang w:eastAsia="zh-CN"/>
        </w:rPr>
      </w:pPr>
    </w:p>
    <w:p w14:paraId="235A8310">
      <w:pPr>
        <w:pStyle w:val="5"/>
        <w:ind w:firstLine="420"/>
        <w:rPr>
          <w:lang w:eastAsia="zh-CN"/>
        </w:rPr>
      </w:pPr>
    </w:p>
    <w:p w14:paraId="6262CF9B">
      <w:pPr>
        <w:pStyle w:val="5"/>
        <w:ind w:firstLine="420"/>
        <w:rPr>
          <w:lang w:eastAsia="zh-CN"/>
        </w:rPr>
      </w:pPr>
    </w:p>
    <w:p w14:paraId="03C36280">
      <w:pPr>
        <w:pStyle w:val="5"/>
        <w:ind w:firstLine="420"/>
        <w:rPr>
          <w:lang w:eastAsia="zh-CN"/>
        </w:rPr>
      </w:pPr>
    </w:p>
    <w:p w14:paraId="79A67F45">
      <w:pPr>
        <w:pStyle w:val="5"/>
        <w:ind w:firstLine="420"/>
        <w:rPr>
          <w:lang w:eastAsia="zh-CN"/>
        </w:rPr>
      </w:pPr>
    </w:p>
    <w:p w14:paraId="036D71CE">
      <w:pPr>
        <w:pStyle w:val="5"/>
        <w:ind w:firstLine="420"/>
        <w:rPr>
          <w:lang w:eastAsia="zh-CN"/>
        </w:rPr>
      </w:pPr>
    </w:p>
    <w:p w14:paraId="18B3A981">
      <w:pPr>
        <w:pStyle w:val="5"/>
        <w:ind w:firstLine="420"/>
        <w:rPr>
          <w:lang w:eastAsia="zh-CN"/>
        </w:rPr>
      </w:pPr>
    </w:p>
    <w:p w14:paraId="3F7A8025">
      <w:pPr>
        <w:pStyle w:val="5"/>
        <w:ind w:firstLine="420"/>
        <w:rPr>
          <w:lang w:eastAsia="zh-CN"/>
        </w:rPr>
      </w:pPr>
    </w:p>
    <w:p w14:paraId="5992F3D1">
      <w:pPr>
        <w:pStyle w:val="5"/>
        <w:ind w:firstLine="420"/>
        <w:rPr>
          <w:lang w:eastAsia="zh-CN"/>
        </w:rPr>
      </w:pPr>
    </w:p>
    <w:p w14:paraId="75A073BC">
      <w:pPr>
        <w:pStyle w:val="5"/>
        <w:ind w:firstLine="420"/>
        <w:rPr>
          <w:lang w:eastAsia="zh-CN"/>
        </w:rPr>
      </w:pPr>
    </w:p>
    <w:p w14:paraId="2784F932">
      <w:pPr>
        <w:pStyle w:val="5"/>
        <w:ind w:firstLine="420"/>
        <w:rPr>
          <w:lang w:eastAsia="zh-CN"/>
        </w:rPr>
      </w:pPr>
    </w:p>
    <w:p w14:paraId="2AE0A4DA">
      <w:pPr>
        <w:pStyle w:val="5"/>
        <w:ind w:firstLine="0" w:firstLineChars="0"/>
        <w:rPr>
          <w:rFonts w:hint="eastAsia"/>
          <w:lang w:eastAsia="zh-CN"/>
        </w:rPr>
      </w:pPr>
    </w:p>
    <w:p w14:paraId="1B7CA370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标准编制组</w:t>
      </w:r>
    </w:p>
    <w:p w14:paraId="1796AEE5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  <w:lang w:eastAsia="zh-CN"/>
        </w:rPr>
        <w:t>月</w:t>
      </w:r>
    </w:p>
    <w:p w14:paraId="0AC04B4E">
      <w:pPr>
        <w:pStyle w:val="5"/>
        <w:ind w:firstLine="420"/>
        <w:rPr>
          <w:lang w:eastAsia="zh-CN"/>
        </w:rPr>
        <w:sectPr>
          <w:headerReference r:id="rId6" w:type="first"/>
          <w:footerReference r:id="rId8" w:type="first"/>
          <w:headerReference r:id="rId5" w:type="default"/>
          <w:footerReference r:id="rId7" w:type="default"/>
          <w:type w:val="continuous"/>
          <w:pgSz w:w="11910" w:h="16840"/>
          <w:pgMar w:top="1600" w:right="980" w:bottom="280" w:left="1300" w:header="720" w:footer="720" w:gutter="0"/>
          <w:pgNumType w:fmt="upperRoman"/>
          <w:cols w:space="720" w:num="1"/>
          <w:titlePg/>
        </w:sectPr>
      </w:pPr>
    </w:p>
    <w:p w14:paraId="05EF1A33">
      <w:pPr>
        <w:pStyle w:val="5"/>
        <w:ind w:left="0" w:lef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《民用爆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破器材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企业安全检查方法  检查表法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 xml:space="preserve">  </w:t>
      </w:r>
    </w:p>
    <w:p w14:paraId="301DCF3E">
      <w:pPr>
        <w:pStyle w:val="5"/>
        <w:ind w:left="0" w:lef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第3部分</w:t>
      </w:r>
      <w:bookmarkStart w:id="2" w:name="_GoBack"/>
      <w:bookmarkEnd w:id="2"/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：工业炸药及制品生产线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》</w:t>
      </w:r>
    </w:p>
    <w:p w14:paraId="34D5B6A1">
      <w:pPr>
        <w:pStyle w:val="5"/>
        <w:ind w:left="0" w:leftChars="0" w:firstLine="0" w:firstLineChars="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编制说明</w:t>
      </w:r>
    </w:p>
    <w:p w14:paraId="4FD8A5BA">
      <w:pPr>
        <w:pStyle w:val="5"/>
        <w:ind w:firstLine="420"/>
        <w:rPr>
          <w:rFonts w:hint="eastAsia" w:ascii="黑体" w:hAnsi="黑体" w:eastAsia="黑体"/>
          <w:sz w:val="24"/>
          <w:szCs w:val="24"/>
          <w:lang w:eastAsia="zh-CN"/>
        </w:rPr>
      </w:pPr>
    </w:p>
    <w:p w14:paraId="0E15A716">
      <w:pPr>
        <w:pStyle w:val="5"/>
        <w:ind w:firstLine="420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一、工作概况</w:t>
      </w:r>
    </w:p>
    <w:p w14:paraId="6FB7AFDC">
      <w:pPr>
        <w:pStyle w:val="5"/>
        <w:ind w:firstLine="420"/>
        <w:rPr>
          <w:rFonts w:ascii="黑体" w:hAnsi="黑体" w:eastAsia="黑体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1、任务来源</w:t>
      </w:r>
    </w:p>
    <w:p w14:paraId="3139C55F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2023</w:t>
      </w:r>
      <w:r>
        <w:rPr>
          <w:sz w:val="24"/>
          <w:szCs w:val="24"/>
          <w:highlight w:val="none"/>
          <w:lang w:eastAsia="zh-CN"/>
        </w:rPr>
        <w:t>年10月2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sz w:val="24"/>
          <w:szCs w:val="24"/>
          <w:highlight w:val="none"/>
          <w:lang w:eastAsia="zh-CN"/>
        </w:rPr>
        <w:t>日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/>
          <w:sz w:val="24"/>
          <w:szCs w:val="24"/>
          <w:highlight w:val="none"/>
          <w:lang w:val="en-US" w:eastAsia="zh-CN"/>
        </w:rPr>
        <w:t>工业和信息化部办公厅</w:t>
      </w:r>
      <w:r>
        <w:rPr>
          <w:rFonts w:hint="eastAsia"/>
          <w:sz w:val="24"/>
          <w:szCs w:val="24"/>
          <w:highlight w:val="none"/>
          <w:lang w:eastAsia="zh-CN"/>
        </w:rPr>
        <w:t>下发《关于</w:t>
      </w:r>
      <w:r>
        <w:rPr>
          <w:rFonts w:hint="eastAsia"/>
          <w:sz w:val="24"/>
          <w:szCs w:val="24"/>
          <w:highlight w:val="none"/>
          <w:lang w:val="en-US" w:eastAsia="zh-CN"/>
        </w:rPr>
        <w:t>印发2023年第三批行业标准制修订和外文版项目计划的通知</w:t>
      </w:r>
      <w:r>
        <w:rPr>
          <w:rFonts w:hint="eastAsia"/>
          <w:sz w:val="24"/>
          <w:szCs w:val="24"/>
          <w:highlight w:val="none"/>
          <w:lang w:eastAsia="zh-CN"/>
        </w:rPr>
        <w:t>》（</w:t>
      </w:r>
      <w:r>
        <w:rPr>
          <w:rFonts w:hint="eastAsia"/>
          <w:sz w:val="24"/>
          <w:szCs w:val="24"/>
          <w:highlight w:val="none"/>
          <w:lang w:val="en-US" w:eastAsia="zh-CN"/>
        </w:rPr>
        <w:t>工信厅函〔2023〕291号</w:t>
      </w:r>
      <w:r>
        <w:rPr>
          <w:rFonts w:hint="eastAsia"/>
          <w:sz w:val="24"/>
          <w:szCs w:val="24"/>
          <w:highlight w:val="none"/>
          <w:lang w:eastAsia="zh-CN"/>
        </w:rPr>
        <w:t>）。由</w:t>
      </w:r>
      <w:r>
        <w:rPr>
          <w:rFonts w:hint="eastAsia"/>
          <w:sz w:val="24"/>
          <w:szCs w:val="24"/>
          <w:highlight w:val="none"/>
          <w:lang w:val="en-US" w:eastAsia="zh-CN"/>
        </w:rPr>
        <w:t>中国兵器工业标准化研究所</w:t>
      </w:r>
      <w:r>
        <w:rPr>
          <w:rFonts w:hint="eastAsia"/>
          <w:sz w:val="24"/>
          <w:szCs w:val="24"/>
          <w:highlight w:val="none"/>
          <w:lang w:eastAsia="zh-CN"/>
        </w:rPr>
        <w:t xml:space="preserve">作为主要起草单位牵头开展《民用爆破器材企业安全检查方法 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highlight w:val="none"/>
          <w:lang w:eastAsia="zh-CN"/>
        </w:rPr>
        <w:t>检查表法》</w:t>
      </w:r>
      <w:r>
        <w:rPr>
          <w:rFonts w:hint="eastAsia"/>
          <w:sz w:val="24"/>
          <w:szCs w:val="24"/>
          <w:highlight w:val="none"/>
          <w:lang w:val="en-US" w:eastAsia="zh-CN"/>
        </w:rPr>
        <w:t>七项系列标准</w:t>
      </w:r>
      <w:r>
        <w:rPr>
          <w:rFonts w:hint="eastAsia"/>
          <w:sz w:val="24"/>
          <w:szCs w:val="24"/>
          <w:highlight w:val="none"/>
          <w:lang w:eastAsia="zh-CN"/>
        </w:rPr>
        <w:t>的制修订工作，</w:t>
      </w:r>
      <w:r>
        <w:rPr>
          <w:rFonts w:hint="eastAsia"/>
          <w:sz w:val="24"/>
          <w:szCs w:val="24"/>
          <w:highlight w:val="none"/>
          <w:lang w:val="en-US" w:eastAsia="zh-CN"/>
        </w:rPr>
        <w:t>参编单位包括北京安联国科科技咨询有限公司、江阳兴安民爆器材有限公司、四川雅化实业集团股份有限公司、川南航天能源科技有限公司等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10559E5D">
      <w:pPr>
        <w:pStyle w:val="5"/>
        <w:ind w:firstLine="4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2、主要任务</w:t>
      </w:r>
    </w:p>
    <w:p w14:paraId="247F2A10">
      <w:pPr>
        <w:pStyle w:val="5"/>
        <w:ind w:firstLine="42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安全检查方法是民爆行业安全监管的常用手段，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2012版《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实施以来，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行业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安全监管、企业安全管理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中发挥了重要作用。鉴于近年来国家和民爆行业先后发布了新的安全生产法、《“十四五”民用爆炸物品行业安全发展规划》（工信部规〔2021〕183号）、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《加快推进民用爆炸物品行业转型升级实施意见》（工信部安全〔2025〕41号）、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）等法律、法规、标准和规章，原WJ 9075标准中引用的相关依据有较多变化改变，亟待修订检查内容；原标准中尚缺少个别民爆小品种产品，应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补充，以便更好指导民爆行业安全检查、安全监管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413BF8F">
      <w:pPr>
        <w:pStyle w:val="5"/>
        <w:ind w:firstLine="420"/>
        <w:rPr>
          <w:rFonts w:hint="eastAsia"/>
          <w:sz w:val="24"/>
          <w:szCs w:val="24"/>
          <w:lang w:eastAsia="zh-CN"/>
        </w:rPr>
      </w:pPr>
    </w:p>
    <w:p w14:paraId="52C6C1A8">
      <w:pPr>
        <w:pStyle w:val="5"/>
        <w:ind w:firstLine="420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二、标准制修订的主要工作及过程</w:t>
      </w:r>
    </w:p>
    <w:p w14:paraId="33B21462">
      <w:pPr>
        <w:spacing w:line="36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1、修订任务分工</w:t>
      </w:r>
    </w:p>
    <w:p w14:paraId="429E4BF2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以来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修改任务立项后，</w:t>
      </w:r>
      <w:r>
        <w:rPr>
          <w:rFonts w:hint="eastAsia" w:ascii="宋体" w:hAnsi="宋体"/>
          <w:sz w:val="24"/>
          <w:szCs w:val="24"/>
        </w:rPr>
        <w:t>中国兵器工业标准化研究所</w:t>
      </w:r>
      <w:r>
        <w:rPr>
          <w:rFonts w:hint="eastAsia" w:ascii="宋体" w:hAnsi="宋体"/>
          <w:sz w:val="24"/>
          <w:szCs w:val="24"/>
          <w:lang w:val="en-US" w:eastAsia="zh-CN"/>
        </w:rPr>
        <w:t>作为标准主编单位，</w:t>
      </w:r>
      <w:r>
        <w:rPr>
          <w:rFonts w:hint="eastAsia" w:ascii="宋体" w:hAnsi="宋体"/>
          <w:sz w:val="24"/>
          <w:szCs w:val="24"/>
        </w:rPr>
        <w:t>根据该标准编制</w:t>
      </w:r>
      <w:r>
        <w:rPr>
          <w:rFonts w:hint="eastAsia"/>
          <w:sz w:val="24"/>
          <w:szCs w:val="24"/>
          <w:lang w:val="en-US" w:eastAsia="zh-CN"/>
        </w:rPr>
        <w:t>修改</w:t>
      </w:r>
      <w:r>
        <w:rPr>
          <w:rFonts w:hint="eastAsia" w:ascii="宋体" w:hAnsi="宋体"/>
          <w:sz w:val="24"/>
          <w:szCs w:val="24"/>
        </w:rPr>
        <w:t>要求和民爆行业安全检查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监管</w:t>
      </w:r>
      <w:r>
        <w:rPr>
          <w:rFonts w:hint="eastAsia" w:ascii="宋体" w:hAnsi="宋体"/>
          <w:sz w:val="24"/>
          <w:szCs w:val="24"/>
        </w:rPr>
        <w:t>的具体情况，组织成立了由肖月华、</w:t>
      </w:r>
      <w:r>
        <w:rPr>
          <w:rFonts w:hint="eastAsia"/>
          <w:sz w:val="24"/>
          <w:szCs w:val="24"/>
          <w:lang w:val="en-US" w:eastAsia="zh-CN"/>
        </w:rPr>
        <w:t>田野、</w:t>
      </w:r>
      <w:r>
        <w:rPr>
          <w:rFonts w:hint="eastAsia" w:ascii="宋体" w:hAnsi="宋体"/>
          <w:sz w:val="24"/>
          <w:szCs w:val="24"/>
        </w:rPr>
        <w:t>王春乐、</w:t>
      </w:r>
      <w:r>
        <w:rPr>
          <w:rFonts w:hint="eastAsia"/>
          <w:sz w:val="24"/>
          <w:szCs w:val="24"/>
          <w:lang w:val="en-US" w:eastAsia="zh-CN"/>
        </w:rPr>
        <w:t>晃光艳等</w:t>
      </w:r>
      <w:r>
        <w:rPr>
          <w:rFonts w:hint="eastAsia" w:ascii="宋体" w:hAnsi="宋体"/>
          <w:sz w:val="24"/>
          <w:szCs w:val="24"/>
        </w:rPr>
        <w:t>为主要成员的标准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编制组，编制组成员对该标准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应包含的内容、安全检查应覆盖的范围以及标准的结构框架等进行了调研和分析。考虑到作为行业安全检查涉及各专业和各类企业，经研究扩大了编制组成员范围。</w:t>
      </w:r>
    </w:p>
    <w:p w14:paraId="31619ED8">
      <w:pPr>
        <w:pStyle w:val="5"/>
        <w:ind w:firstLine="4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/>
          <w:sz w:val="24"/>
          <w:szCs w:val="24"/>
          <w:lang w:eastAsia="zh-CN"/>
        </w:rPr>
        <w:t>工作过程</w:t>
      </w:r>
    </w:p>
    <w:p w14:paraId="0917A222">
      <w:pPr>
        <w:pStyle w:val="5"/>
        <w:ind w:firstLine="4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本项目自20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月启动相关工作，制修订过程如下：</w:t>
      </w:r>
    </w:p>
    <w:p w14:paraId="0AFDC8AF">
      <w:pPr>
        <w:pStyle w:val="5"/>
        <w:ind w:firstLine="42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第一阶段：标准制修订立项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调研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和修订依据收集工作</w:t>
      </w:r>
    </w:p>
    <w:p w14:paraId="798F2B80">
      <w:pPr>
        <w:pStyle w:val="5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修订编制组收集调研了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</w:t>
      </w:r>
      <w:r>
        <w:rPr>
          <w:rFonts w:hint="eastAsia" w:cs="宋体"/>
          <w:sz w:val="24"/>
          <w:szCs w:val="24"/>
          <w:lang w:eastAsia="zh-CN"/>
        </w:rPr>
        <w:t>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2022</w:t>
      </w:r>
      <w:r>
        <w:rPr>
          <w:rFonts w:hint="eastAsia" w:cs="宋体"/>
          <w:sz w:val="24"/>
          <w:szCs w:val="24"/>
          <w:lang w:eastAsia="zh-CN"/>
        </w:rPr>
        <w:t>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136号)、《民用爆炸物品生产和销售企业安全生产培训管理办法》（工信厅安全</w:t>
      </w:r>
      <w:r>
        <w:rPr>
          <w:rFonts w:hint="eastAsia" w:cs="宋体"/>
          <w:sz w:val="24"/>
          <w:szCs w:val="24"/>
          <w:lang w:eastAsia="zh-CN"/>
        </w:rPr>
        <w:t>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2018</w:t>
      </w:r>
      <w:r>
        <w:rPr>
          <w:rFonts w:hint="eastAsia" w:cs="宋体"/>
          <w:sz w:val="24"/>
          <w:szCs w:val="24"/>
          <w:lang w:eastAsia="zh-CN"/>
        </w:rPr>
        <w:t>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77号）、《民爆行业安全生产专项整治三年行动工作方案的通知》（工信厅安全〔2020〕26号)、《“十四五”民用爆炸物品行业安全发展规划》（工信部规〔2021〕183号）、《关于进一步加强民用爆炸物品重大危险源管理工作的通知》（工信厅安全</w:t>
      </w:r>
      <w:r>
        <w:rPr>
          <w:rFonts w:hint="eastAsia" w:cs="宋体"/>
          <w:sz w:val="24"/>
          <w:szCs w:val="24"/>
          <w:lang w:eastAsia="zh-CN"/>
        </w:rPr>
        <w:t>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2022</w:t>
      </w:r>
      <w:r>
        <w:rPr>
          <w:rFonts w:hint="eastAsia" w:cs="宋体"/>
          <w:sz w:val="24"/>
          <w:szCs w:val="24"/>
          <w:lang w:eastAsia="zh-CN"/>
        </w:rPr>
        <w:t>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14号）、《民用爆炸物品行业重大事故隐患判定标准》（工信部安全【2024】234号）、《加快推进民用爆炸物品行业转型升级实施意见》（工信部安全〔2025〕41号）、《民用爆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相关文件，作为标准修订编制的依据。</w:t>
      </w:r>
    </w:p>
    <w:p w14:paraId="1C8C051C">
      <w:pPr>
        <w:pStyle w:val="5"/>
        <w:ind w:firstLine="42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修订编制组对近十几年来的安全事故进行了梳理分析，如2009年7月18日湘潭市民爆公司5吨炸药库爆炸、2005年6月1日安徽雷鸣公司水胶炸药线爆炸事故、2011年5月11日河北丰华爆破公司，0.98吨炸药爆炸、2013年3月21日江铜股份公司乳化炸药现场混装车上残药100多公斤爆炸事故、2014年3月7日唐山开滦公司乳化炸药生产线约3吨乳化炸药爆炸、2015年10月21日山东天宝公司起爆具生产线爆炸事故、2017年南京理工科技化工公司等三起工业雷管生产安全事故等。经对以上多个事故案例爆炸后的破坏情况、导致事故的技术和管理因素分析，为标准修定提供了参考依据。</w:t>
      </w:r>
    </w:p>
    <w:p w14:paraId="2A8BCD59">
      <w:pPr>
        <w:pStyle w:val="5"/>
        <w:ind w:firstLine="42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4327508">
      <w:pPr>
        <w:pStyle w:val="17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第二阶段：标准制修订阶段</w:t>
      </w:r>
    </w:p>
    <w:p w14:paraId="2265CCEB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1）2021年06月：安全司提出立项申请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修订编制组提出了标准修订的框架；</w:t>
      </w:r>
    </w:p>
    <w:p w14:paraId="2A2BE8A1">
      <w:pPr>
        <w:pStyle w:val="5"/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2）2023年12月：行业标准立项</w:t>
      </w:r>
      <w:r>
        <w:rPr>
          <w:rFonts w:hint="eastAsia"/>
          <w:sz w:val="24"/>
          <w:szCs w:val="24"/>
          <w:lang w:val="en-US" w:eastAsia="zh-CN"/>
        </w:rPr>
        <w:t>得到</w:t>
      </w:r>
      <w:r>
        <w:rPr>
          <w:rFonts w:hint="eastAsia"/>
          <w:sz w:val="24"/>
          <w:szCs w:val="24"/>
          <w:lang w:eastAsia="zh-CN"/>
        </w:rPr>
        <w:t>批复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6BCD7B65">
      <w:pPr>
        <w:pStyle w:val="5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08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：各修订编制组完成了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.(1-7)的初稿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4DC6A8D7">
      <w:pPr>
        <w:pStyle w:val="5"/>
        <w:ind w:left="418" w:leftChars="190" w:firstLine="0" w:firstLine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15日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由</w:t>
      </w:r>
      <w:r>
        <w:rPr>
          <w:rFonts w:hint="eastAsia"/>
          <w:sz w:val="24"/>
          <w:szCs w:val="24"/>
          <w:lang w:eastAsia="zh-CN"/>
        </w:rPr>
        <w:t>中国兵器工业标准化研究所</w:t>
      </w:r>
      <w:r>
        <w:rPr>
          <w:rFonts w:hint="eastAsia"/>
          <w:sz w:val="24"/>
          <w:szCs w:val="24"/>
          <w:lang w:val="en-US" w:eastAsia="zh-CN"/>
        </w:rPr>
        <w:t>主持召开标准修订初稿进行研讨审查会；</w:t>
      </w:r>
    </w:p>
    <w:p w14:paraId="2E9A0C93">
      <w:pPr>
        <w:pStyle w:val="5"/>
        <w:ind w:left="418" w:leftChars="190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在前期研讨的基础上，各修订编制组完成了标准的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征求意见稿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1CA783F2">
      <w:pPr>
        <w:pStyle w:val="5"/>
        <w:ind w:firstLine="420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EFC18A">
      <w:pPr>
        <w:pStyle w:val="17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三、标准制修订原则和主要内容</w:t>
      </w:r>
    </w:p>
    <w:p w14:paraId="67E0BB73">
      <w:pPr>
        <w:pStyle w:val="17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（一）标准制修订原则</w:t>
      </w:r>
    </w:p>
    <w:p w14:paraId="33840F68">
      <w:pPr>
        <w:pStyle w:val="5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本标准的制修订立足于我国</w:t>
      </w:r>
      <w:r>
        <w:rPr>
          <w:rFonts w:hint="eastAsia"/>
          <w:sz w:val="24"/>
          <w:szCs w:val="24"/>
          <w:lang w:val="en-US" w:eastAsia="zh-CN"/>
        </w:rPr>
        <w:t>民爆行业的技术</w:t>
      </w:r>
      <w:r>
        <w:rPr>
          <w:rFonts w:hint="eastAsia"/>
          <w:sz w:val="24"/>
          <w:szCs w:val="24"/>
          <w:lang w:eastAsia="zh-CN"/>
        </w:rPr>
        <w:t>发展情况，分析和研究了国</w:t>
      </w:r>
      <w:r>
        <w:rPr>
          <w:rFonts w:hint="eastAsia"/>
          <w:sz w:val="24"/>
          <w:szCs w:val="24"/>
          <w:lang w:val="en-US" w:eastAsia="zh-CN"/>
        </w:rPr>
        <w:t>家行业的最新安全、生产和技术发展要求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在保持原标准基本结构的基础进行完美修订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主要原则有：</w:t>
      </w:r>
    </w:p>
    <w:p w14:paraId="6B01DD37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（1）体现唯一性：</w:t>
      </w:r>
      <w:r>
        <w:rPr>
          <w:rFonts w:hint="eastAsia"/>
          <w:sz w:val="24"/>
          <w:szCs w:val="24"/>
          <w:lang w:val="en-US" w:eastAsia="zh-CN"/>
        </w:rPr>
        <w:t>依据最新的民爆行业安全文件，</w:t>
      </w:r>
      <w:r>
        <w:rPr>
          <w:rFonts w:hint="eastAsia" w:ascii="宋体" w:hAnsi="宋体"/>
          <w:sz w:val="24"/>
          <w:szCs w:val="24"/>
        </w:rPr>
        <w:t>对民用爆</w:t>
      </w:r>
      <w:r>
        <w:rPr>
          <w:rFonts w:hint="eastAsia"/>
          <w:sz w:val="24"/>
          <w:szCs w:val="24"/>
          <w:lang w:val="en-US" w:eastAsia="zh-CN"/>
        </w:rPr>
        <w:t>炸物品</w:t>
      </w:r>
      <w:r>
        <w:rPr>
          <w:rFonts w:hint="eastAsia" w:ascii="宋体" w:hAnsi="宋体"/>
          <w:sz w:val="24"/>
          <w:szCs w:val="24"/>
        </w:rPr>
        <w:t>行业各生产、销售企业的安全检查及评判应有统一的标准，本标准的制定避免了安全检查过程中检查和评判人员的人为因素。</w:t>
      </w:r>
    </w:p>
    <w:p w14:paraId="3D886508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（2）体现安全第一：检查项目、评分标准等的设置应以发现生产中的安全隐患为首要目的，通过检查，提高企业全员的安全意识，督促企业消除安全隐患。</w:t>
      </w:r>
    </w:p>
    <w:p w14:paraId="0718825E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（3）体现技术进步：以本标准为依据对民爆行业生产、销售企业进行安全检查，对检查发现的问题及时采取措施并改进，以此推动企业的技术进步。</w:t>
      </w:r>
    </w:p>
    <w:p w14:paraId="11B2096B"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（4）体现可操作性：</w:t>
      </w:r>
      <w:r>
        <w:rPr>
          <w:rFonts w:hint="eastAsia"/>
          <w:sz w:val="24"/>
          <w:szCs w:val="24"/>
          <w:lang w:val="en-US" w:eastAsia="zh-CN"/>
        </w:rPr>
        <w:t>在原标准的基础上，进一步简化</w:t>
      </w:r>
      <w:r>
        <w:rPr>
          <w:rFonts w:hint="eastAsia" w:ascii="宋体" w:hAnsi="宋体"/>
          <w:sz w:val="24"/>
          <w:szCs w:val="24"/>
        </w:rPr>
        <w:t>检查</w:t>
      </w:r>
      <w:r>
        <w:rPr>
          <w:rFonts w:hint="eastAsia"/>
          <w:sz w:val="24"/>
          <w:szCs w:val="24"/>
          <w:lang w:val="en-US" w:eastAsia="zh-CN"/>
        </w:rPr>
        <w:t>统计方法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结合大多数企业的生产现状和实际情况，</w:t>
      </w:r>
      <w:r>
        <w:rPr>
          <w:rFonts w:hint="eastAsia"/>
          <w:sz w:val="24"/>
          <w:szCs w:val="24"/>
          <w:lang w:val="en-US" w:eastAsia="zh-CN"/>
        </w:rPr>
        <w:t>使安全检查过程</w:t>
      </w:r>
      <w:r>
        <w:rPr>
          <w:rFonts w:hint="eastAsia" w:ascii="宋体" w:hAnsi="宋体"/>
          <w:sz w:val="24"/>
          <w:szCs w:val="24"/>
        </w:rPr>
        <w:t>可操作性强。</w:t>
      </w:r>
    </w:p>
    <w:p w14:paraId="4F7D846F"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黑体" w:hAnsi="宋体" w:eastAsia="黑体"/>
          <w:sz w:val="24"/>
          <w:szCs w:val="24"/>
        </w:rPr>
        <w:t>5）</w:t>
      </w:r>
      <w:r>
        <w:rPr>
          <w:rFonts w:hint="eastAsia" w:ascii="宋体" w:hAnsi="宋体"/>
          <w:sz w:val="24"/>
          <w:szCs w:val="24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的编写符合GB/T 1.1—2020《标准化工作导则 第 1 部分：标准化文件的结构和起草规则》的要示。</w:t>
      </w:r>
    </w:p>
    <w:p w14:paraId="6C4FE072">
      <w:pPr>
        <w:pStyle w:val="17"/>
        <w:rPr>
          <w:rFonts w:hAnsi="黑体" w:cs="宋体"/>
          <w:color w:val="auto"/>
          <w:sz w:val="24"/>
          <w:szCs w:val="24"/>
        </w:rPr>
      </w:pPr>
      <w:r>
        <w:rPr>
          <w:rFonts w:hint="eastAsia" w:hAnsi="黑体" w:cs="宋体"/>
          <w:color w:val="auto"/>
          <w:sz w:val="24"/>
          <w:szCs w:val="24"/>
        </w:rPr>
        <w:t>（二）主要内容</w:t>
      </w:r>
    </w:p>
    <w:p w14:paraId="4F62632F">
      <w:pPr>
        <w:pStyle w:val="5"/>
        <w:ind w:firstLine="420"/>
        <w:rPr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1、本标准规定了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企业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安全检查内容及检查表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判定及结论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安全检查报告的编制</w:t>
      </w:r>
      <w:r>
        <w:rPr>
          <w:rFonts w:hint="eastAsia"/>
          <w:sz w:val="24"/>
          <w:szCs w:val="24"/>
        </w:rPr>
        <w:t>要求</w:t>
      </w:r>
      <w:r>
        <w:rPr>
          <w:rFonts w:hint="eastAsia" w:ascii="宋体" w:hAnsi="宋体"/>
          <w:color w:val="auto"/>
          <w:sz w:val="24"/>
          <w:szCs w:val="24"/>
        </w:rPr>
        <w:t>。</w:t>
      </w: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文件</w:t>
      </w:r>
      <w:r>
        <w:rPr>
          <w:rFonts w:hint="eastAsia"/>
          <w:sz w:val="24"/>
          <w:szCs w:val="24"/>
        </w:rPr>
        <w:t>适用于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行业生产企业和销售企业的安全检查</w:t>
      </w:r>
      <w:r>
        <w:rPr>
          <w:rFonts w:hint="eastAsia"/>
          <w:sz w:val="24"/>
          <w:szCs w:val="24"/>
          <w:lang w:eastAsia="zh-CN"/>
        </w:rPr>
        <w:t>。</w:t>
      </w:r>
    </w:p>
    <w:p w14:paraId="0C83DFF6">
      <w:pPr>
        <w:pStyle w:val="5"/>
        <w:ind w:firstLine="42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2、本标准技术内容的编写主要依据：</w:t>
      </w:r>
    </w:p>
    <w:p w14:paraId="011B1728">
      <w:pPr>
        <w:pStyle w:val="5"/>
        <w:ind w:firstLine="42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本标准的修订取依据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</w:t>
      </w:r>
      <w:r>
        <w:rPr>
          <w:rFonts w:hint="eastAsia" w:cs="宋体"/>
          <w:sz w:val="24"/>
          <w:szCs w:val="24"/>
          <w:lang w:eastAsia="zh-CN"/>
        </w:rPr>
        <w:t>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2022</w:t>
      </w:r>
      <w:r>
        <w:rPr>
          <w:rFonts w:hint="eastAsia" w:cs="宋体"/>
          <w:sz w:val="24"/>
          <w:szCs w:val="24"/>
          <w:lang w:eastAsia="zh-CN"/>
        </w:rPr>
        <w:t>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136号)、《民用爆炸物品生产和销售企业安全生产培训管理办法》（工信厅安全</w:t>
      </w:r>
      <w:r>
        <w:rPr>
          <w:rFonts w:hint="eastAsia" w:cs="宋体"/>
          <w:sz w:val="24"/>
          <w:szCs w:val="24"/>
          <w:lang w:eastAsia="zh-CN"/>
        </w:rPr>
        <w:t>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2018</w:t>
      </w:r>
      <w:r>
        <w:rPr>
          <w:rFonts w:hint="eastAsia" w:cs="宋体"/>
          <w:sz w:val="24"/>
          <w:szCs w:val="24"/>
          <w:lang w:eastAsia="zh-CN"/>
        </w:rPr>
        <w:t>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77号）、《民爆行业安全生产专项整治三年行动工作方案的通知》（工信厅安全〔2020〕26号)、《“十四五”民用爆炸物品行业安全发展规划》（工信部规〔2021〕183号）、《关于进一步加强民用爆炸物品重大危险源管理工作的通知》（工信厅安全〔2022〕14号）、《民用爆炸物品行业重大事故隐患判定标准》（工信部安全〔2024〕234号）、《加快推进民用爆炸物品行业转型升级实施意见》（工信部安全〔2025〕41号）</w:t>
      </w:r>
      <w:r>
        <w:rPr>
          <w:rFonts w:hint="eastAsia" w:cs="宋体"/>
          <w:sz w:val="24"/>
          <w:szCs w:val="24"/>
          <w:lang w:val="en-US" w:eastAsia="zh-CN"/>
        </w:rPr>
        <w:t>等法律法规规定外，主要依据以下标准：</w:t>
      </w:r>
    </w:p>
    <w:p w14:paraId="3A33AAB2">
      <w:pPr>
        <w:pStyle w:val="5"/>
        <w:ind w:firstLine="420"/>
        <w:rPr>
          <w:sz w:val="24"/>
          <w:szCs w:val="24"/>
          <w:lang w:eastAsia="zh-CN"/>
        </w:rPr>
      </w:pPr>
      <w:bookmarkStart w:id="0" w:name="1）GB/T_1__________《标准化工作导则》"/>
      <w:bookmarkEnd w:id="0"/>
      <w:r>
        <w:rPr>
          <w:rFonts w:hint="eastAsia"/>
          <w:sz w:val="24"/>
          <w:szCs w:val="24"/>
          <w:lang w:eastAsia="zh-CN"/>
        </w:rPr>
        <w:t>（1）GB/T 1.1《标准化工作导则》</w:t>
      </w:r>
    </w:p>
    <w:p w14:paraId="444D52AB">
      <w:pPr>
        <w:pStyle w:val="5"/>
        <w:ind w:firstLine="42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bookmarkStart w:id="1" w:name="_Hlk97016919"/>
      <w:r>
        <w:rPr>
          <w:rFonts w:hint="eastAsia"/>
          <w:sz w:val="24"/>
          <w:szCs w:val="24"/>
          <w:lang w:eastAsia="zh-CN"/>
        </w:rPr>
        <w:t xml:space="preserve">GB </w:t>
      </w:r>
      <w:r>
        <w:rPr>
          <w:rFonts w:hint="eastAsia"/>
          <w:sz w:val="24"/>
          <w:szCs w:val="24"/>
          <w:lang w:val="en-US" w:eastAsia="zh-CN"/>
        </w:rPr>
        <w:t>28263</w:t>
      </w:r>
      <w:r>
        <w:rPr>
          <w:rFonts w:hint="eastAsia"/>
          <w:sz w:val="24"/>
          <w:szCs w:val="24"/>
          <w:lang w:eastAsia="zh-CN"/>
        </w:rPr>
        <w:t xml:space="preserve"> </w:t>
      </w:r>
      <w:bookmarkEnd w:id="1"/>
      <w:r>
        <w:rPr>
          <w:rFonts w:hint="eastAsia"/>
          <w:sz w:val="24"/>
          <w:szCs w:val="24"/>
          <w:lang w:eastAsia="zh-CN"/>
        </w:rPr>
        <w:t>《民用爆炸物品生产、</w:t>
      </w:r>
      <w:r>
        <w:rPr>
          <w:rFonts w:hint="default"/>
          <w:sz w:val="24"/>
          <w:szCs w:val="24"/>
          <w:lang w:eastAsia="zh-CN"/>
        </w:rPr>
        <w:t>销售企业安全管理规程</w:t>
      </w:r>
      <w:r>
        <w:rPr>
          <w:rFonts w:hint="eastAsia"/>
          <w:sz w:val="24"/>
          <w:szCs w:val="24"/>
          <w:lang w:eastAsia="zh-CN"/>
        </w:rPr>
        <w:t>》</w:t>
      </w:r>
    </w:p>
    <w:p w14:paraId="23A3CA67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（3）GB 50089《民用爆炸物品工程设计安全标准》</w:t>
      </w:r>
    </w:p>
    <w:p w14:paraId="3C6F25CB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）GB 55037-2022《建筑防火通用规范》</w:t>
      </w:r>
    </w:p>
    <w:p w14:paraId="532B11AD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（5）GB 50016-2014，2018版《建筑设计防火规范》</w:t>
      </w:r>
    </w:p>
    <w:p w14:paraId="3CCC432B">
      <w:pPr>
        <w:pStyle w:val="5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）GB 18218-2018《危险化学品重大危险源辨识》</w:t>
      </w:r>
    </w:p>
    <w:p w14:paraId="00292938">
      <w:pPr>
        <w:pStyle w:val="5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）WJ/T9093-2018《民用爆炸物品重大危险源辨识》</w:t>
      </w:r>
    </w:p>
    <w:p w14:paraId="0A11E369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15563-2024《工业炸药制品通用技术条件》</w:t>
      </w:r>
    </w:p>
    <w:p w14:paraId="2E539493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28286-2024《工业炸药通用技术条件》</w:t>
      </w:r>
    </w:p>
    <w:p w14:paraId="7356F987">
      <w:pPr>
        <w:pStyle w:val="5"/>
        <w:ind w:firstLine="42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default"/>
          <w:sz w:val="24"/>
          <w:szCs w:val="24"/>
          <w:lang w:val="en-US" w:eastAsia="zh-CN"/>
        </w:rPr>
        <w:t xml:space="preserve">WJ/T </w:t>
      </w:r>
      <w:r>
        <w:rPr>
          <w:rFonts w:hint="eastAsia"/>
          <w:sz w:val="24"/>
          <w:szCs w:val="24"/>
          <w:lang w:val="en-US" w:eastAsia="zh-CN"/>
        </w:rPr>
        <w:t>9106－2024《民用爆炸物品生产销售企业生产安全事故应急预案编制导则》</w:t>
      </w:r>
    </w:p>
    <w:p w14:paraId="5F327163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）WJ/T9094-2018工业炸药生产企业硝酸铵溶液储罐（区）安全管理规程</w:t>
      </w:r>
    </w:p>
    <w:p w14:paraId="5417E750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  <w:lang w:eastAsia="zh-CN"/>
        </w:rPr>
        <w:t>）GB/T 13861-2022《生产过程危险和有害因素分类与代码》</w:t>
      </w:r>
    </w:p>
    <w:p w14:paraId="504EA21F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  <w:lang w:eastAsia="zh-CN"/>
        </w:rPr>
        <w:t>）WJ/T 9100-2022 民用爆炸物品生产、销售企业安全隐患排查治理体系建设指南</w:t>
      </w:r>
    </w:p>
    <w:p w14:paraId="607CED4F">
      <w:pPr>
        <w:pStyle w:val="5"/>
        <w:ind w:firstLine="42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  <w:lang w:eastAsia="zh-CN"/>
        </w:rPr>
        <w:t>）WJ/T 9101-2022 民用爆炸物品生产、销售企业安全风险分级管控体系 建设指南</w:t>
      </w:r>
    </w:p>
    <w:p w14:paraId="5A8D9ED4">
      <w:pPr>
        <w:pStyle w:val="5"/>
        <w:ind w:firstLine="420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3、主要修订内容</w:t>
      </w:r>
    </w:p>
    <w:p w14:paraId="728A2D61">
      <w:pPr>
        <w:snapToGrid w:val="0"/>
        <w:spacing w:line="276" w:lineRule="auto"/>
        <w:ind w:firstLine="480" w:firstLineChars="200"/>
        <w:rPr>
          <w:rFonts w:hint="eastAsia" w:ascii="宋体" w:hAnsi="宋体" w:eastAsia="宋体" w:cs="Times New Roman"/>
          <w:color w:val="auto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本文件代替</w:t>
      </w:r>
      <w:r>
        <w:rPr>
          <w:rFonts w:hint="eastAsia"/>
          <w:color w:val="auto"/>
          <w:sz w:val="24"/>
          <w:szCs w:val="24"/>
          <w:lang w:eastAsia="zh-CN"/>
        </w:rPr>
        <w:t>WJ/</w:t>
      </w:r>
      <w:r>
        <w:rPr>
          <w:rFonts w:hint="eastAsia"/>
          <w:color w:val="auto"/>
          <w:sz w:val="24"/>
          <w:szCs w:val="24"/>
          <w:lang w:val="en-US" w:eastAsia="zh-CN"/>
        </w:rPr>
        <w:t>T</w:t>
      </w:r>
      <w:r>
        <w:rPr>
          <w:rFonts w:hint="eastAsia" w:ascii="宋体" w:hAnsi="宋体"/>
          <w:color w:val="auto"/>
          <w:sz w:val="24"/>
          <w:szCs w:val="24"/>
        </w:rPr>
        <w:t xml:space="preserve"> 9075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.3-2012</w:t>
      </w:r>
      <w:r>
        <w:rPr>
          <w:rFonts w:hint="eastAsia" w:ascii="宋体" w:hAnsi="宋体"/>
          <w:color w:val="auto"/>
          <w:sz w:val="24"/>
          <w:szCs w:val="24"/>
        </w:rPr>
        <w:t>《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民用爆炸物品</w:t>
      </w:r>
      <w:r>
        <w:rPr>
          <w:rFonts w:hint="eastAsia" w:ascii="宋体" w:hAnsi="宋体"/>
          <w:color w:val="auto"/>
          <w:sz w:val="24"/>
          <w:szCs w:val="24"/>
        </w:rPr>
        <w:t>企业安全检查方法  检查表法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</w:rPr>
        <w:t>第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color w:val="auto"/>
          <w:sz w:val="24"/>
          <w:szCs w:val="24"/>
        </w:rPr>
        <w:t>部分：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工业炸药及其制品生产线</w:t>
      </w:r>
      <w:r>
        <w:rPr>
          <w:rFonts w:hint="eastAsia" w:ascii="宋体" w:hAnsi="宋体"/>
          <w:color w:val="auto"/>
          <w:sz w:val="24"/>
          <w:szCs w:val="24"/>
        </w:rPr>
        <w:t>》</w:t>
      </w:r>
      <w:r>
        <w:rPr>
          <w:rFonts w:hint="eastAsia" w:ascii="宋体" w:hAnsi="宋体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与</w:t>
      </w:r>
      <w:r>
        <w:rPr>
          <w:rFonts w:hint="eastAsia"/>
          <w:color w:val="auto"/>
          <w:sz w:val="24"/>
          <w:szCs w:val="24"/>
          <w:lang w:eastAsia="zh-CN"/>
        </w:rPr>
        <w:t>WJ/</w:t>
      </w:r>
      <w:r>
        <w:rPr>
          <w:rFonts w:hint="eastAsia"/>
          <w:color w:val="auto"/>
          <w:sz w:val="24"/>
          <w:szCs w:val="24"/>
          <w:lang w:val="en-US" w:eastAsia="zh-CN"/>
        </w:rPr>
        <w:t>T</w:t>
      </w:r>
      <w:r>
        <w:rPr>
          <w:rFonts w:hint="eastAsia" w:ascii="宋体" w:hAnsi="宋体"/>
          <w:color w:val="auto"/>
          <w:sz w:val="24"/>
          <w:szCs w:val="24"/>
        </w:rPr>
        <w:t xml:space="preserve"> 9075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.3-2012相比，除结构调整和编辑性改动外，主要</w:t>
      </w:r>
      <w:r>
        <w:rPr>
          <w:rFonts w:hint="eastAsia" w:ascii="宋体" w:hAnsi="宋体" w:eastAsia="宋体" w:cs="Times New Roman"/>
          <w:sz w:val="24"/>
          <w:szCs w:val="24"/>
        </w:rPr>
        <w:t>技术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变化如下</w:t>
      </w:r>
      <w:r>
        <w:rPr>
          <w:rFonts w:hint="eastAsia" w:ascii="宋体" w:hAnsi="宋体" w:eastAsia="宋体" w:cs="Times New Roman"/>
          <w:sz w:val="24"/>
          <w:szCs w:val="24"/>
        </w:rPr>
        <w:t>：</w:t>
      </w:r>
    </w:p>
    <w:p w14:paraId="738FFFB1">
      <w:pPr>
        <w:snapToGrid w:val="0"/>
        <w:spacing w:line="276" w:lineRule="auto"/>
        <w:ind w:firstLine="480" w:firstLineChars="200"/>
        <w:rPr>
          <w:rFonts w:hint="default" w:ascii="宋体" w:hAnsi="宋体" w:eastAsia="宋体" w:cs="Times New Roman"/>
          <w:color w:val="auto"/>
          <w:sz w:val="24"/>
          <w:szCs w:val="24"/>
          <w:lang w:val="en-US" w:eastAsia="zh-CN"/>
        </w:rPr>
      </w:pP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1</w:t>
      </w: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eastAsia="zh-CN"/>
        </w:rPr>
        <w:t>增加了</w:t>
      </w:r>
      <w:r>
        <w:rPr>
          <w:rFonts w:hint="eastAsia" w:ascii="宋体" w:hAnsi="宋体" w:eastAsia="宋体" w:cs="Times New Roman"/>
          <w:color w:val="auto"/>
          <w:sz w:val="24"/>
          <w:szCs w:val="24"/>
          <w:lang w:val="en-US" w:eastAsia="zh-CN"/>
        </w:rPr>
        <w:t>“操作定员”、“最大允许定员”“临时人员”术语定义，见3.1、3.2、3.3；</w:t>
      </w:r>
    </w:p>
    <w:p w14:paraId="049B384B">
      <w:pPr>
        <w:snapToGrid w:val="0"/>
        <w:spacing w:line="276" w:lineRule="auto"/>
        <w:ind w:firstLine="480" w:firstLineChars="200"/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（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2</w:t>
      </w:r>
      <w:r>
        <w:rPr>
          <w:rFonts w:hint="eastAsia" w:cs="宋体"/>
          <w:snapToGrid/>
          <w:color w:val="auto"/>
          <w:kern w:val="2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更改了检查表1，增加了“乳化铵油炸药”、“粘性炸药”；</w:t>
      </w:r>
    </w:p>
    <w:p w14:paraId="3DF092C9">
      <w:pPr>
        <w:snapToGrid w:val="0"/>
        <w:spacing w:line="276" w:lineRule="auto"/>
        <w:ind w:firstLine="480" w:firstLineChars="200"/>
        <w:rPr>
          <w:rFonts w:hint="default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（3）更改了检查表的格式和结构；</w:t>
      </w:r>
    </w:p>
    <w:p w14:paraId="7F88F6E8">
      <w:pPr>
        <w:snapToGrid w:val="0"/>
        <w:spacing w:line="276" w:lineRule="auto"/>
        <w:ind w:firstLine="480" w:firstLineChars="200"/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（4）依据新的法律、法规、规定和标准以及事故案例修改了各生产线单元的检查表</w:t>
      </w: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；</w:t>
      </w:r>
    </w:p>
    <w:p w14:paraId="2F9F6D2C">
      <w:pPr>
        <w:snapToGrid w:val="0"/>
        <w:spacing w:line="276" w:lineRule="auto"/>
        <w:ind w:firstLine="480" w:firstLineChars="200"/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</w:pPr>
      <w:r>
        <w:rPr>
          <w:rFonts w:hint="eastAsia" w:cs="宋体"/>
          <w:snapToGrid/>
          <w:color w:val="auto"/>
          <w:kern w:val="2"/>
          <w:sz w:val="24"/>
          <w:szCs w:val="24"/>
          <w:lang w:val="en-US" w:eastAsia="zh-CN"/>
        </w:rPr>
        <w:t>（5）检查项目的类别按新的《总则》要求进行了较多调整</w:t>
      </w:r>
      <w:r>
        <w:rPr>
          <w:rFonts w:hint="eastAsia" w:ascii="宋体" w:hAnsi="宋体" w:eastAsia="宋体" w:cs="宋体"/>
          <w:snapToGrid/>
          <w:color w:val="auto"/>
          <w:kern w:val="2"/>
          <w:sz w:val="24"/>
          <w:szCs w:val="24"/>
          <w:lang w:val="en-US" w:eastAsia="zh-CN"/>
        </w:rPr>
        <w:t>。</w:t>
      </w:r>
    </w:p>
    <w:p w14:paraId="3ECE3537">
      <w:pPr>
        <w:pStyle w:val="17"/>
        <w:rPr>
          <w:rFonts w:hint="default" w:hAnsi="黑体" w:eastAsia="黑体" w:cs="宋体"/>
          <w:sz w:val="24"/>
          <w:szCs w:val="24"/>
          <w:highlight w:val="none"/>
          <w:lang w:val="en-US" w:eastAsia="zh-CN"/>
        </w:rPr>
      </w:pPr>
      <w:r>
        <w:rPr>
          <w:rFonts w:hint="eastAsia" w:hAnsi="黑体" w:cs="宋体"/>
          <w:sz w:val="24"/>
          <w:szCs w:val="24"/>
          <w:highlight w:val="none"/>
        </w:rPr>
        <w:t>四、标准涉及专利知识产权问题</w:t>
      </w:r>
    </w:p>
    <w:p w14:paraId="2D08ADCA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本标准不涉及专利知识产权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40FFDAB3">
      <w:pPr>
        <w:pStyle w:val="17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五、预期社会和经济效果</w:t>
      </w:r>
    </w:p>
    <w:p w14:paraId="3275E756">
      <w:pPr>
        <w:pStyle w:val="5"/>
        <w:ind w:firstLine="42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本标准的编制实施，能更好地指导民爆</w:t>
      </w:r>
      <w:r>
        <w:rPr>
          <w:rFonts w:hint="eastAsia"/>
          <w:sz w:val="24"/>
          <w:szCs w:val="24"/>
          <w:lang w:val="en-US" w:eastAsia="zh-CN"/>
        </w:rPr>
        <w:t>行业标准应涵盖《民用爆炸物品品名表》中的主要产品的安全检查内容，适用于对民爆行业生产企业和销售企业的安全检查。</w:t>
      </w:r>
    </w:p>
    <w:p w14:paraId="70388DB4">
      <w:pPr>
        <w:pStyle w:val="17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六、与同类标准水平的对比情况</w:t>
      </w:r>
    </w:p>
    <w:p w14:paraId="44A12CD3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本标准制修订参考了</w:t>
      </w:r>
      <w:r>
        <w:rPr>
          <w:rFonts w:hint="eastAsia"/>
          <w:sz w:val="24"/>
          <w:szCs w:val="24"/>
          <w:highlight w:val="none"/>
          <w:lang w:val="en-US" w:eastAsia="zh-CN"/>
        </w:rPr>
        <w:t>国内</w:t>
      </w:r>
      <w:r>
        <w:rPr>
          <w:rFonts w:hint="eastAsia"/>
          <w:sz w:val="24"/>
          <w:szCs w:val="24"/>
          <w:highlight w:val="none"/>
          <w:lang w:eastAsia="zh-CN"/>
        </w:rPr>
        <w:t>相关</w:t>
      </w:r>
      <w:r>
        <w:rPr>
          <w:rFonts w:hint="eastAsia"/>
          <w:sz w:val="24"/>
          <w:szCs w:val="24"/>
          <w:highlight w:val="none"/>
          <w:lang w:val="en-US" w:eastAsia="zh-CN"/>
        </w:rPr>
        <w:t>标准</w:t>
      </w:r>
      <w:r>
        <w:rPr>
          <w:rFonts w:hint="eastAsia"/>
          <w:sz w:val="24"/>
          <w:szCs w:val="24"/>
          <w:highlight w:val="none"/>
          <w:lang w:eastAsia="zh-CN"/>
        </w:rPr>
        <w:t>内容，</w:t>
      </w:r>
      <w:r>
        <w:rPr>
          <w:rFonts w:hint="eastAsia"/>
          <w:sz w:val="24"/>
          <w:szCs w:val="24"/>
          <w:highlight w:val="none"/>
          <w:lang w:val="en-US" w:eastAsia="zh-CN"/>
        </w:rPr>
        <w:t>符合行业实际情况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76416CFF">
      <w:pPr>
        <w:pStyle w:val="17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七、与现行法律、法规及标准的关系</w:t>
      </w:r>
    </w:p>
    <w:p w14:paraId="46FF6461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本标准的制修订与民爆行业现行法律、法规及标准协调一致，符合 GB/T 1.1相关标准化编写的要求。</w:t>
      </w:r>
    </w:p>
    <w:p w14:paraId="4EBAACE3">
      <w:pPr>
        <w:pStyle w:val="17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八、重大分歧意见的处理</w:t>
      </w:r>
    </w:p>
    <w:p w14:paraId="6A875D86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本标准制修订过程中无重大意见分歧。</w:t>
      </w:r>
    </w:p>
    <w:p w14:paraId="661BCE72">
      <w:pPr>
        <w:pStyle w:val="17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hAnsi="黑体" w:cs="宋体"/>
          <w:sz w:val="24"/>
          <w:szCs w:val="24"/>
          <w:highlight w:val="none"/>
        </w:rPr>
        <w:t>九、废止现行有关标准的建议</w:t>
      </w:r>
    </w:p>
    <w:p w14:paraId="53CBD36A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本标准发布后，WJ/T 9075.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3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-2012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《民用爆破器材企业安全检查方法 检查表法 第3 部分：</w:t>
      </w: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工业炸药及其制品生产线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行业标准</w:t>
      </w:r>
      <w:r>
        <w:rPr>
          <w:rFonts w:hint="eastAsia"/>
          <w:sz w:val="24"/>
          <w:szCs w:val="24"/>
          <w:highlight w:val="none"/>
          <w:lang w:eastAsia="zh-CN"/>
        </w:rPr>
        <w:t>废止。</w:t>
      </w:r>
    </w:p>
    <w:p w14:paraId="4D7A67D8">
      <w:pPr>
        <w:pStyle w:val="17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十、标准性质及贯彻标准的建议</w:t>
      </w:r>
    </w:p>
    <w:p w14:paraId="6BEE973E">
      <w:pPr>
        <w:pStyle w:val="5"/>
        <w:ind w:firstLine="420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建议该标准作为</w:t>
      </w:r>
      <w:r>
        <w:rPr>
          <w:rFonts w:hint="eastAsia"/>
          <w:sz w:val="24"/>
          <w:szCs w:val="24"/>
          <w:highlight w:val="none"/>
          <w:lang w:val="en-US" w:eastAsia="zh-CN"/>
        </w:rPr>
        <w:t>推荐性</w:t>
      </w:r>
      <w:r>
        <w:rPr>
          <w:rFonts w:hint="eastAsia"/>
          <w:sz w:val="24"/>
          <w:szCs w:val="24"/>
          <w:highlight w:val="none"/>
          <w:lang w:eastAsia="zh-CN"/>
        </w:rPr>
        <w:t>标准，发布后进行宣贯。</w:t>
      </w:r>
    </w:p>
    <w:p w14:paraId="3B2D1431">
      <w:pPr>
        <w:pStyle w:val="17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十一、其他应当予以说明的事项</w:t>
      </w:r>
    </w:p>
    <w:p w14:paraId="4B6C8094">
      <w:pPr>
        <w:pStyle w:val="5"/>
        <w:ind w:firstLine="420"/>
        <w:rPr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无。</w:t>
      </w:r>
    </w:p>
    <w:sectPr>
      <w:footerReference r:id="rId9" w:type="default"/>
      <w:pgSz w:w="11910" w:h="16840"/>
      <w:pgMar w:top="1418" w:right="1418" w:bottom="1418" w:left="1418" w:header="0" w:footer="851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C5C4C50-2F68-48EF-BBEC-09993159F88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E8C0032A-35A0-4397-80CE-E9D351C9A1B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A0FA5F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C17428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C17428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39B613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E43C3F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CE43C3F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9F5A2E">
    <w:pPr>
      <w:pStyle w:val="5"/>
      <w:ind w:left="0" w:leftChars="0" w:firstLine="0" w:firstLineChars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0F3CC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0F3CC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40"/>
      </w:pPr>
      <w:r>
        <w:separator/>
      </w:r>
    </w:p>
  </w:footnote>
  <w:footnote w:type="continuationSeparator" w:id="1">
    <w:p>
      <w:pPr>
        <w:spacing w:line="36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7CF9F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63845E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21"/>
      <w:suff w:val="nothing"/>
      <w:lvlText w:val="%1%2.%3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%2.%3.%4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mOTY3ZjRiODg4NjE2NWQzNWMyYjRkYWEyMTk3ZjcifQ=="/>
  </w:docVars>
  <w:rsids>
    <w:rsidRoot w:val="00715327"/>
    <w:rsid w:val="000036C4"/>
    <w:rsid w:val="00005778"/>
    <w:rsid w:val="00040031"/>
    <w:rsid w:val="00061C9C"/>
    <w:rsid w:val="00086972"/>
    <w:rsid w:val="00106A6F"/>
    <w:rsid w:val="00123B19"/>
    <w:rsid w:val="001427B8"/>
    <w:rsid w:val="00241C42"/>
    <w:rsid w:val="002834EF"/>
    <w:rsid w:val="002C21BF"/>
    <w:rsid w:val="002C7B0B"/>
    <w:rsid w:val="002D6F1D"/>
    <w:rsid w:val="002E008E"/>
    <w:rsid w:val="00373430"/>
    <w:rsid w:val="00402048"/>
    <w:rsid w:val="004243F0"/>
    <w:rsid w:val="00434997"/>
    <w:rsid w:val="004358E7"/>
    <w:rsid w:val="00456A9C"/>
    <w:rsid w:val="00472635"/>
    <w:rsid w:val="004901CB"/>
    <w:rsid w:val="004D4FE0"/>
    <w:rsid w:val="0056579A"/>
    <w:rsid w:val="00567205"/>
    <w:rsid w:val="00592D61"/>
    <w:rsid w:val="005B547B"/>
    <w:rsid w:val="005E32CE"/>
    <w:rsid w:val="005F0DE8"/>
    <w:rsid w:val="006429C9"/>
    <w:rsid w:val="006430FD"/>
    <w:rsid w:val="00656DEC"/>
    <w:rsid w:val="00662DCD"/>
    <w:rsid w:val="00677DC4"/>
    <w:rsid w:val="00685492"/>
    <w:rsid w:val="00715327"/>
    <w:rsid w:val="00767231"/>
    <w:rsid w:val="00782B92"/>
    <w:rsid w:val="007837BD"/>
    <w:rsid w:val="00797AC7"/>
    <w:rsid w:val="007D354E"/>
    <w:rsid w:val="007D7BBD"/>
    <w:rsid w:val="0088308B"/>
    <w:rsid w:val="008916F2"/>
    <w:rsid w:val="008E29B4"/>
    <w:rsid w:val="00904AE6"/>
    <w:rsid w:val="00937370"/>
    <w:rsid w:val="00943EAD"/>
    <w:rsid w:val="009772DB"/>
    <w:rsid w:val="009A34CE"/>
    <w:rsid w:val="00A350B9"/>
    <w:rsid w:val="00A95D31"/>
    <w:rsid w:val="00AA3C6C"/>
    <w:rsid w:val="00AE1882"/>
    <w:rsid w:val="00B024F5"/>
    <w:rsid w:val="00B05BD7"/>
    <w:rsid w:val="00B51F19"/>
    <w:rsid w:val="00B56AB4"/>
    <w:rsid w:val="00B87455"/>
    <w:rsid w:val="00B92F43"/>
    <w:rsid w:val="00B95A76"/>
    <w:rsid w:val="00B966FC"/>
    <w:rsid w:val="00B97D8E"/>
    <w:rsid w:val="00BB0CDA"/>
    <w:rsid w:val="00BC5340"/>
    <w:rsid w:val="00C01EBA"/>
    <w:rsid w:val="00C109E5"/>
    <w:rsid w:val="00C66047"/>
    <w:rsid w:val="00CA675D"/>
    <w:rsid w:val="00CF0159"/>
    <w:rsid w:val="00D969EF"/>
    <w:rsid w:val="00DB03F3"/>
    <w:rsid w:val="00DB197A"/>
    <w:rsid w:val="00DC5AA7"/>
    <w:rsid w:val="00E573D2"/>
    <w:rsid w:val="00ED54CA"/>
    <w:rsid w:val="00F67B0B"/>
    <w:rsid w:val="00FA4D54"/>
    <w:rsid w:val="00FD6792"/>
    <w:rsid w:val="033C3422"/>
    <w:rsid w:val="053C0C8A"/>
    <w:rsid w:val="093454A7"/>
    <w:rsid w:val="0A9B25EE"/>
    <w:rsid w:val="0C3D6DF9"/>
    <w:rsid w:val="0DBC6F43"/>
    <w:rsid w:val="0DDD17FF"/>
    <w:rsid w:val="0E552CDA"/>
    <w:rsid w:val="0E557083"/>
    <w:rsid w:val="11B16447"/>
    <w:rsid w:val="13AE6F61"/>
    <w:rsid w:val="14F00F04"/>
    <w:rsid w:val="1658475D"/>
    <w:rsid w:val="16CA45DE"/>
    <w:rsid w:val="18BC5F12"/>
    <w:rsid w:val="1BEB4C90"/>
    <w:rsid w:val="1CC9778F"/>
    <w:rsid w:val="1E34047C"/>
    <w:rsid w:val="1E69661E"/>
    <w:rsid w:val="1ECB6CEF"/>
    <w:rsid w:val="1F6F608C"/>
    <w:rsid w:val="21787096"/>
    <w:rsid w:val="22414AFB"/>
    <w:rsid w:val="233D5767"/>
    <w:rsid w:val="24E81330"/>
    <w:rsid w:val="297E0FB7"/>
    <w:rsid w:val="2C960225"/>
    <w:rsid w:val="2D1E66D0"/>
    <w:rsid w:val="2EE52969"/>
    <w:rsid w:val="306948A1"/>
    <w:rsid w:val="3536601A"/>
    <w:rsid w:val="375612A0"/>
    <w:rsid w:val="375C12F1"/>
    <w:rsid w:val="3A4A561C"/>
    <w:rsid w:val="3A4F7D89"/>
    <w:rsid w:val="3DAC5CA6"/>
    <w:rsid w:val="41382BEE"/>
    <w:rsid w:val="429608B8"/>
    <w:rsid w:val="42A94006"/>
    <w:rsid w:val="437B732E"/>
    <w:rsid w:val="4512175E"/>
    <w:rsid w:val="45AB6AD8"/>
    <w:rsid w:val="46756FAA"/>
    <w:rsid w:val="47A04D78"/>
    <w:rsid w:val="4BC114B6"/>
    <w:rsid w:val="4F7C6D36"/>
    <w:rsid w:val="51D13AD5"/>
    <w:rsid w:val="5411465D"/>
    <w:rsid w:val="546C4071"/>
    <w:rsid w:val="5C7204C4"/>
    <w:rsid w:val="5CAD5DBF"/>
    <w:rsid w:val="61D54F1C"/>
    <w:rsid w:val="62EC224B"/>
    <w:rsid w:val="6C0F1C48"/>
    <w:rsid w:val="6CE108DF"/>
    <w:rsid w:val="6D9D0818"/>
    <w:rsid w:val="6E6733A0"/>
    <w:rsid w:val="70C943AC"/>
    <w:rsid w:val="71284FD1"/>
    <w:rsid w:val="72005FE5"/>
    <w:rsid w:val="72AE13B5"/>
    <w:rsid w:val="7345315E"/>
    <w:rsid w:val="75217474"/>
    <w:rsid w:val="75A8798F"/>
    <w:rsid w:val="76F30DFB"/>
    <w:rsid w:val="78076539"/>
    <w:rsid w:val="781A0999"/>
    <w:rsid w:val="79E62BDA"/>
    <w:rsid w:val="7A565F9A"/>
    <w:rsid w:val="7B4614BA"/>
    <w:rsid w:val="7BA312FA"/>
    <w:rsid w:val="7BEC092C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line="360" w:lineRule="auto"/>
      <w:ind w:firstLine="418" w:firstLineChars="20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39"/>
      <w:ind w:left="718"/>
      <w:outlineLvl w:val="0"/>
    </w:pPr>
    <w:rPr>
      <w:b/>
      <w:bCs/>
      <w:sz w:val="30"/>
      <w:szCs w:val="30"/>
    </w:rPr>
  </w:style>
  <w:style w:type="paragraph" w:styleId="3">
    <w:name w:val="heading 2"/>
    <w:basedOn w:val="1"/>
    <w:next w:val="1"/>
    <w:qFormat/>
    <w:uiPriority w:val="1"/>
    <w:pPr>
      <w:ind w:left="855" w:hanging="317"/>
      <w:outlineLvl w:val="1"/>
    </w:pPr>
    <w:rPr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qFormat/>
    <w:uiPriority w:val="0"/>
    <w:pPr>
      <w:autoSpaceDE/>
      <w:autoSpaceDN/>
      <w:jc w:val="both"/>
    </w:pPr>
    <w:rPr>
      <w:rFonts w:hAnsi="Times New Roman" w:cs="Times New Roman"/>
      <w:kern w:val="2"/>
      <w:sz w:val="18"/>
      <w:szCs w:val="18"/>
      <w:lang w:eastAsia="zh-CN"/>
    </w:r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18" w:firstLine="42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7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5">
    <w:name w:val="页脚 字符"/>
    <w:basedOn w:val="10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customStyle="1" w:styleId="16">
    <w:name w:val="Char Char Char Char Char Char Char"/>
    <w:basedOn w:val="1"/>
    <w:qFormat/>
    <w:uiPriority w:val="0"/>
    <w:pPr>
      <w:widowControl/>
      <w:autoSpaceDE/>
      <w:autoSpaceDN/>
      <w:spacing w:after="160" w:line="240" w:lineRule="exact"/>
    </w:pPr>
    <w:rPr>
      <w:rFonts w:ascii="Arial" w:hAnsi="Arial" w:eastAsia="Times New Roman" w:cs="Verdana"/>
      <w:b/>
      <w:sz w:val="24"/>
      <w:szCs w:val="24"/>
    </w:rPr>
  </w:style>
  <w:style w:type="paragraph" w:customStyle="1" w:styleId="17">
    <w:name w:val="章标题"/>
    <w:next w:val="1"/>
    <w:qFormat/>
    <w:uiPriority w:val="99"/>
    <w:pPr>
      <w:spacing w:before="50" w:after="50" w:line="360" w:lineRule="auto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8">
    <w:name w:val="文档结构图 字符"/>
    <w:basedOn w:val="10"/>
    <w:link w:val="4"/>
    <w:qFormat/>
    <w:uiPriority w:val="0"/>
    <w:rPr>
      <w:rFonts w:ascii="宋体"/>
      <w:kern w:val="2"/>
      <w:sz w:val="18"/>
      <w:szCs w:val="18"/>
    </w:rPr>
  </w:style>
  <w:style w:type="paragraph" w:customStyle="1" w:styleId="19">
    <w:name w:val="标准文件_封面标准名称"/>
    <w:basedOn w:val="1"/>
    <w:qFormat/>
    <w:uiPriority w:val="0"/>
    <w:pPr>
      <w:spacing w:before="100" w:beforeLines="100" w:line="500" w:lineRule="exact"/>
      <w:jc w:val="center"/>
    </w:pPr>
    <w:rPr>
      <w:rFonts w:ascii="黑体" w:eastAsia="黑体"/>
      <w:kern w:val="0"/>
      <w:sz w:val="52"/>
    </w:rPr>
  </w:style>
  <w:style w:type="paragraph" w:customStyle="1" w:styleId="20">
    <w:name w:val="标准文件_二级条标题"/>
    <w:basedOn w:val="21"/>
    <w:next w:val="23"/>
    <w:qFormat/>
    <w:uiPriority w:val="0"/>
    <w:pPr>
      <w:numPr>
        <w:ilvl w:val="3"/>
        <w:numId w:val="1"/>
      </w:numPr>
      <w:outlineLvl w:val="3"/>
    </w:pPr>
  </w:style>
  <w:style w:type="paragraph" w:customStyle="1" w:styleId="21">
    <w:name w:val="标准文件_一级条标题"/>
    <w:basedOn w:val="22"/>
    <w:next w:val="23"/>
    <w:qFormat/>
    <w:uiPriority w:val="0"/>
    <w:pPr>
      <w:numPr>
        <w:ilvl w:val="2"/>
        <w:numId w:val="1"/>
      </w:numPr>
      <w:spacing w:before="0" w:beforeLines="0" w:after="0" w:afterLines="0"/>
      <w:outlineLvl w:val="2"/>
    </w:pPr>
  </w:style>
  <w:style w:type="paragraph" w:customStyle="1" w:styleId="22">
    <w:name w:val="标准文件_章标题"/>
    <w:next w:val="23"/>
    <w:qFormat/>
    <w:uiPriority w:val="0"/>
    <w:pPr>
      <w:numPr>
        <w:ilvl w:val="1"/>
        <w:numId w:val="1"/>
      </w:numPr>
      <w:spacing w:before="50" w:beforeLines="50" w:after="50" w:afterLines="50"/>
      <w:ind w:right="-50" w:rightChars="-50"/>
      <w:jc w:val="both"/>
      <w:outlineLvl w:val="1"/>
    </w:pPr>
    <w:rPr>
      <w:rFonts w:ascii="黑体" w:hAnsi="Times New Roman" w:eastAsia="黑体" w:cs="Times New Roman"/>
      <w:spacing w:val="2"/>
      <w:sz w:val="21"/>
      <w:lang w:val="en-US" w:eastAsia="zh-CN" w:bidi="ar-SA"/>
    </w:rPr>
  </w:style>
  <w:style w:type="paragraph" w:customStyle="1" w:styleId="23">
    <w:name w:val="标准文件_段"/>
    <w:qFormat/>
    <w:uiPriority w:val="0"/>
    <w:pPr>
      <w:autoSpaceDE w:val="0"/>
      <w:autoSpaceDN w:val="0"/>
      <w:adjustRightInd w:val="0"/>
      <w:snapToGrid w:val="0"/>
      <w:spacing w:line="340" w:lineRule="exact"/>
      <w:ind w:firstLine="428" w:firstLineChars="200"/>
      <w:jc w:val="both"/>
    </w:pPr>
    <w:rPr>
      <w:rFonts w:ascii="宋体" w:hAnsi="Times New Roman" w:eastAsia="宋体" w:cs="Times New Roman"/>
      <w:spacing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2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18A8C-C673-4407-967D-9F5693F329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3440</Words>
  <Characters>3866</Characters>
  <Lines>45</Lines>
  <Paragraphs>12</Paragraphs>
  <TotalTime>0</TotalTime>
  <ScaleCrop>false</ScaleCrop>
  <LinksUpToDate>false</LinksUpToDate>
  <CharactersWithSpaces>3917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2023-03-28T07:05:00Z</dcterms:created>
  <dc:creator>番茄花园</dc:creator>
  <cp:lastModifiedBy>大衣服</cp:lastModifiedBy>
  <cp:lastPrinted>2024-04-15T01:10:00Z</cp:lastPrinted>
  <dcterms:modified xsi:type="dcterms:W3CDTF">2025-11-18T10:56:22Z</dcterms:modified>
  <dc:title>中华人民共和国国家标准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2023-02-17T00:00:00Z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F644E08C2EA5487F98E8DF456756B11B_13</vt:lpwstr>
  </property>
  <property fmtid="{D5CDD505-2E9C-101B-9397-08002B2CF9AE}" pid="7" name="KSOTemplateDocerSaveRecord">
    <vt:lpwstr>eyJoZGlkIjoiNjdiZjk5YjQyODY0OWVkNzBlYWUxZmFiMTU0ZTFmYTAiLCJ1c2VySWQiOiI0NDQ3MjI3MjUifQ==</vt:lpwstr>
  </property>
</Properties>
</file>